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143 PatG</w:t>
      </w:r>
    </w:p>
    <w:p>
      <w:r>
        <w:rPr>
          <w:color w:val="555555"/>
          <w:sz w:val="18"/>
        </w:rPr>
        <w:t xml:space="preserve">Patentgesetz</w:t>
      </w:r>
    </w:p>
    <w:p>
      <w:r>
        <w:rPr>
          <w:color w:val="555555"/>
          <w:sz w:val="18"/>
        </w:rPr>
        <w:t xml:space="preserve">Stand: 10.06.2019 (konsolidierte Textfassung, kein amtliches Inkrafttretensdatum)</w:t>
      </w:r>
    </w:p>
    <w:p>
      <w:r>
        <w:t xml:space="preserve">(1) Für alle Klagen, durch die ein Anspruch aus einem der in diesem Gesetz geregelten Rechtsverhältnisse geltend gemacht wird (Patentstreitsachen), sind die Zivilkammern der Landgerichte ohne Rücksicht auf den Streitwert ausschließlich zuständig.</w:t>
      </w:r>
    </w:p>
    <w:p>
      <w:r>
        <w:t xml:space="preserve">(2) Die Landesregierungen werden ermächtigt, durch Rechtsverordnung die Patentstreitsachen für die Bezirke mehrerer Landgerichte einem von ihnen zuzuweisen. Die Landesregierungen können diese Ermächtigungen auf die Landesjustizverwaltungen übertragen. Die Länder können außerdem durch Vereinbarung den Gerichten eines Landes obliegende Aufgaben insgesamt oder teilweise dem zuständigen Gericht eines anderen Landes übertragen.</w:t>
      </w:r>
    </w:p>
    <w:p>
      <w:r>
        <w:t xml:space="preserve">(3) Von den Kosten, die durch die Mitwirkung eines Patentanwalts in dem Rechtsstreit entstehen, sind die Gebühren nach § 13 des Rechtsanwaltsvergütungsgesetzes und außerdem die notwendigen Auslagen des Patentanwalts zu erstatten.</w:t>
      </w:r>
    </w:p>
    <w:p>
      <w:r>
        <w:rPr>
          <w:color w:val="555555"/>
          <w:sz w:val="17"/>
        </w:rPr>
        <w:t xml:space="preserve">Zitiervorschlag: § 143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