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141 PatG</w:t>
      </w:r>
    </w:p>
    <w:p>
      <w:r>
        <w:rPr>
          <w:color w:val="555555"/>
          <w:sz w:val="18"/>
        </w:rPr>
        <w:t xml:space="preserve">Patentgesetz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die Verjährung der Ansprüche wegen Verletzung des Patentrechts finden die Vorschriften des Abschnitts 5 des Buches 1 des Bürgerlichen Gesetzbuchs entsprechende Anwendung. Hat der Verpflichtete durch die Verletzung auf Kosten des Berechtigten etwas erlangt, findet § 852 des Bürgerlichen Gesetzbuchs entsprechende Anwendung.</w:t>
      </w:r>
    </w:p>
    <w:p>
      <w:r>
        <w:rPr>
          <w:color w:val="555555"/>
          <w:sz w:val="17"/>
        </w:rPr>
        <w:t xml:space="preserve">Zitiervorschlag: § 141 PatG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https://recht.nulegal.eu/gesetze/PatG/141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