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PatG</w:t>
      </w:r>
    </w:p>
    <w:p>
      <w:r>
        <w:rPr>
          <w:color w:val="555555"/>
          <w:sz w:val="18"/>
        </w:rPr>
        <w:t xml:space="preserve">Patentgesetz</w:t>
      </w:r>
    </w:p>
    <w:p>
      <w:r>
        <w:rPr>
          <w:color w:val="555555"/>
          <w:sz w:val="18"/>
        </w:rPr>
        <w:t xml:space="preserve">Stand: 14.10.2021 (konsolidierte Textfassung, kein amtliches Inkrafttretensdatum)</w:t>
      </w:r>
    </w:p>
    <w:p>
      <w:r>
        <w:t xml:space="preserve">(1) Wer entgegen den §§ 9 bis 13 eine patentierte Erfindung benutzt, kann von dem Verletzten bei Wiederholungsgefahr auf Unterlassung in Anspruch genommen werden. Der Anspruch besteht auch dann, wenn eine Zuwiderhandlung erstmalig droht. Der Anspruch ist ausgeschlossen, soweit die Inanspruchnahme aufgrund der besonderen Umstände des Einzelfalls und der Gebote von Treu und Glauben für den Verletzer oder Dritte zu einer unverhältnismäßigen, durch das Ausschließlichkeitsrecht nicht gerechtfertigten Härte führen würde. In diesem Fall ist dem Verletzten ein angemessener Ausgleich in Geld zu gewähren. Der Schadensersatzanspruch nach Absatz 2 bleibt hiervon unberührt.</w:t>
      </w:r>
    </w:p>
    <w:p>
      <w:r>
        <w:t xml:space="preserve">(2) Wer die Handlung vorsätzlich oder fahrlässig vornimmt, ist dem Verletzten zum Ersatz des daraus entstehenden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Benutzung der Erfindung eingeholt hätte.</w:t>
      </w:r>
    </w:p>
    <w:p>
      <w:r>
        <w:t xml:space="preserve">(3) Ist Gegenstand des Patents ein Verfahren zur Herstellung eines neuen Erzeugnisses, so gilt bis zum Beweis des Gegenteils das gleiche Erzeugnis, das von einem anderen hergestellt worden ist, als nach dem patentierten Verfahren hergestellt. Bei der Erhebung des Beweises des Gegenteils sind die berechtigten Interessen des Beklagten an der Wahrung seiner Herstellungs- und Betriebsgeheimnisse zu berücksichtigen.</w:t>
      </w:r>
    </w:p>
    <w:p>
      <w:r>
        <w:rPr>
          <w:color w:val="555555"/>
          <w:sz w:val="17"/>
        </w:rPr>
        <w:t xml:space="preserve">Zitiervorschlag: § 139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