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über die Rechtsbeschwerde (§ 100) ist einem Beteiligten auf Antrag unter entsprechender Anwendung der §§ 114 bis 116 der Zivilprozeßordnung Verfahrenskostenhilfe zu bewilligen.</w:t>
      </w:r>
    </w:p>
    <w:p>
      <w:r>
        <w:t xml:space="preserve">(2) Das Gesuch um die Bewilligung von Verfahrenskostenhilfe ist schriftlich beim Bundesgerichtshof einzureichen; es kann auch vor der Geschäftsstelle zu Protokoll erklärt werden. Über das Gesuch beschließt der Bundesgerichtshof.</w:t>
      </w:r>
    </w:p>
    <w:p>
      <w:r>
        <w:t xml:space="preserve">(3) Im übrigen sind die Bestimmungen des § 130 Abs. 2, 3, 5 und 6 sowie der §§ 133, 134, 136 und 137 entsprechend anzuwenden mit der Maßgabe, daß einem Beteiligten, dem Verfahrenskostenhilfe bewilligt worden ist, nur ein beim Bundesgerichtshof zugelassener Rechtsanwalt beigeordnet werden kann.</w:t>
      </w:r>
    </w:p>
    <w:p>
      <w:r>
        <w:rPr>
          <w:color w:val="555555"/>
          <w:sz w:val="17"/>
        </w:rPr>
        <w:t xml:space="preserve">Zitiervorschlag: § 138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