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 PatG</w:t>
      </w:r>
    </w:p>
    <w:p>
      <w:r>
        <w:rPr>
          <w:color w:val="555555"/>
          <w:sz w:val="18"/>
        </w:rPr>
        <w:t xml:space="preserve">Patentgesetz</w:t>
      </w:r>
    </w:p>
    <w:p>
      <w:r>
        <w:rPr>
          <w:color w:val="555555"/>
          <w:sz w:val="18"/>
        </w:rPr>
        <w:t xml:space="preserve">Stand: 19.07.2024 (konsolidierte Textfassung, kein amtliches Inkrafttretensdatum)</w:t>
      </w:r>
    </w:p>
    <w:p>
      <w:r>
        <w:t xml:space="preserve">Die Vorschriften des § 117 Absatz 2 bis 4 Satz 1, des § 118 Abs. 2 und 3, der §§ 119 und 120 Absatz 1 und 3, des § 120a Absatz 1, 2 und 4 sowie der §§ 124 und 127 Abs. 1 und 2 der Zivilprozeßordnung sind entsprechend anzuwenden, § 127 Abs. 2 der Zivilprozessordnung mit der Maßgabe, dass die Beschwerde unabhängig von dem Verfahrenswert stattfindet. Im Einspruchsverfahren sowie in den Verfahren wegen Erklärung der Nichtigkeit des Patents oder in Zwangslizenzverfahren (§§ 81, 85 und 85a) gilt dies auch für § 117 Abs. 1 Satz 2, § 118 Abs. 1, § 122 Abs. 2 sowie die §§ 123, 125 und 126 der Zivilprozeßordnung.</w:t>
      </w:r>
    </w:p>
    <w:p>
      <w:r>
        <w:rPr>
          <w:color w:val="555555"/>
          <w:sz w:val="17"/>
        </w:rPr>
        <w:t xml:space="preserve">Zitiervorschlag: § 136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