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PatG</w:t>
      </w:r>
    </w:p>
    <w:p>
      <w:r>
        <w:rPr>
          <w:color w:val="555555"/>
          <w:sz w:val="18"/>
        </w:rPr>
        <w:t xml:space="preserve">Patentgesetz</w:t>
      </w:r>
    </w:p>
    <w:p>
      <w:r>
        <w:rPr>
          <w:color w:val="555555"/>
          <w:sz w:val="18"/>
        </w:rPr>
        <w:t xml:space="preserve">Stand: 10.06.2019 (konsolidierte Textfassung, kein amtliches Inkrafttretensdatum)</w:t>
      </w:r>
    </w:p>
    <w:p>
      <w:r>
        <w:t xml:space="preserve">(1) Im Einspruchsverfahren (§§ 59 bis 62) erhält der Patentinhaber auf Antrag unter entsprechender Anwendung der §§ 114 bis 116 der Zivilprozeßordnung und des § 130 Abs. 1 Satz 2 und Abs. 2, 4 und 5 Verfahrenskostenhilfe. Hierbei ist nicht zu prüfen, ob die Rechtsverteidigung hinreichende Aussicht auf Erfolg bietet.</w:t>
      </w:r>
    </w:p>
    <w:p>
      <w:r>
        <w:t xml:space="preserve">(2) Absatz 1 Satz 1 ist auf den Einsprechenden und den gemäß § 59 Abs. 2 beitretenden Dritten sowie auf die Beteiligten im Verfahren wegen Erklärung der Nichtigkeit des Patents oder in Zwangslizenzverfahren (§§ 81, 85 und 85a) entsprechend anzuwenden, wenn der Antragsteller ein eigenes schutzwürdiges Interesse glaubhaft macht.</w:t>
      </w:r>
    </w:p>
    <w:p>
      <w:r>
        <w:rPr>
          <w:color w:val="555555"/>
          <w:sz w:val="17"/>
        </w:rPr>
        <w:t xml:space="preserve">Zitiervorschlag: § 132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