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128b PatG</w:t>
      </w:r>
    </w:p>
    <w:p>
      <w:r>
        <w:rPr>
          <w:color w:val="555555"/>
          <w:sz w:val="18"/>
        </w:rPr>
        <w:t xml:space="preserve">Patentgesetz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 Vorschriften des Siebzehnten Titels des Gerichtsverfassungsgesetzes sind auf Verfahren vor dem Patentgericht und dem Bundesgerichtshof entsprechend anzuwenden.</w:t>
      </w:r>
    </w:p>
    <w:p>
      <w:r>
        <w:rPr>
          <w:color w:val="555555"/>
          <w:sz w:val="17"/>
        </w:rPr>
        <w:t xml:space="preserve">Zitiervorschlag: § 128b PatG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https://recht.nulegal.eu/gesetze/PatG/128b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