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125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(1) Wird der Einspruch oder die Klage auf Erklärung der Nichtigkeit des Patents auf die Behauptung gestützt, dass der Gegenstand des Patents nach § 3 nicht patentfähig sei, so kann das Deutsche Patent- und Markenamt oder das Patentgericht verlangen, dass Urschriften, Ablichtungen oder beglaubigte Abschriften der im Einspruch oder in der Klage erwähnten Druckschriften, die im Deutschen Patent- und Markenamt und im Patentgericht nicht vorhanden sind, in je einem Stück für das Deutsche Patent- und Markenamt oder das Patentgericht und für die am Verfahren Beteiligten eingereicht werden.</w:t>
      </w:r>
    </w:p>
    <w:p>
      <w:r>
        <w:t xml:space="preserve">(2) Von Druckschriften in fremder Sprache sind auf Verlangen des Deutschen Patent- und Markenamts oder des Patentgerichts einfache oder beglaubigte Übersetzungen beizubringen.</w:t>
      </w:r>
    </w:p>
    <w:p>
      <w:r>
        <w:rPr>
          <w:color w:val="555555"/>
          <w:sz w:val="17"/>
        </w:rPr>
        <w:t xml:space="preserve">Zitiervorschlag: § 125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