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Urteile der Nichtigkeitssenate des Patentgerichts über den Erlaß einstweiliger Verfügungen im Verfahren wegen Erteilung einer Zwangslizenz (§§ 85 und 85a) findet die Beschwerde an den Bundesgerichtshof statt. § 110 Abs. 7 gilt entsprechend.</w:t>
      </w:r>
    </w:p>
    <w:p>
      <w:r>
        <w:t xml:space="preserve">(2) Die Beschwerde ist innerhalb eines Monats schriftlich beim Bundesgerichtshof einzulegen.</w:t>
      </w:r>
    </w:p>
    <w:p>
      <w:r>
        <w:t xml:space="preserve">(3) Die Beschwerdefrist beginnt mit der Zustellung des in vollständiger Form abgefaßten Urteils, spätestens aber mit dem Ablauf von fünf Monaten nach der Verkündung.</w:t>
      </w:r>
    </w:p>
    <w:p>
      <w:r>
        <w:t xml:space="preserve">(4) Für das Verfahren vor dem Bundesgerichtshof gelten § 74 Abs. 1, §§ 84, 110 bis 121 entsprechend.</w:t>
      </w:r>
    </w:p>
    <w:p>
      <w:r>
        <w:rPr>
          <w:color w:val="555555"/>
          <w:sz w:val="17"/>
        </w:rPr>
        <w:t xml:space="preserve">Zitiervorschlag: § 122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