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PatG</w:t>
      </w:r>
    </w:p>
    <w:p>
      <w:r>
        <w:rPr>
          <w:color w:val="555555"/>
          <w:sz w:val="18"/>
        </w:rPr>
        <w:t xml:space="preserve">Patentgesetz</w:t>
      </w:r>
    </w:p>
    <w:p>
      <w:r>
        <w:rPr>
          <w:color w:val="555555"/>
          <w:sz w:val="18"/>
        </w:rPr>
        <w:t xml:space="preserve">Stand: 10.06.2019 (konsolidierte Textfassung, kein amtliches Inkrafttretensdatum)</w:t>
      </w:r>
    </w:p>
    <w:p>
      <w:r>
        <w:t xml:space="preserve">(1) In dem Verfahren vor dem Bundesgerichtshof gelten die Bestimmungen des § 144 über die Streitwertfestsetzung entsprechend.</w:t>
      </w:r>
    </w:p>
    <w:p>
      <w:r>
        <w:t xml:space="preserve">(2) In dem Urteil ist auch über die Kosten des Verfahrens zu entscheiden. Die Vorschriften der Zivilprozeßordnung über die Prozeßkosten (§§ 91 bis 101) sind entsprechend anzuwenden, soweit nicht die Billigkeit eine andere Entscheidung erfordert; die Vorschriften der Zivilprozeßordnung über das Kostenfestsetzungsverfahren (§§ 103 bis 107) und die Zwangsvollstreckung aus Kostenfestsetzungsbeschlüssen (§§ 724 bis 802) sind entsprechend anzuwenden.</w:t>
      </w:r>
    </w:p>
    <w:p>
      <w:r>
        <w:rPr>
          <w:color w:val="555555"/>
          <w:sz w:val="17"/>
        </w:rPr>
        <w:t xml:space="preserve">Zitiervorschlag: § 121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