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PatG</w:t>
      </w:r>
    </w:p>
    <w:p>
      <w:r>
        <w:rPr>
          <w:color w:val="555555"/>
          <w:sz w:val="18"/>
        </w:rPr>
        <w:t xml:space="preserve">Patentgesetz</w:t>
      </w:r>
    </w:p>
    <w:p>
      <w:r>
        <w:rPr>
          <w:color w:val="555555"/>
          <w:sz w:val="18"/>
        </w:rPr>
        <w:t xml:space="preserve">Stand: 10.06.2019 (konsolidierte Textfassung, kein amtliches Inkrafttretensdatum)</w:t>
      </w:r>
    </w:p>
    <w:p>
      <w:r>
        <w:t xml:space="preserve">(1) Die Wirkung des Patents tritt gegen den nicht ein, der zur Zeit der Anmeldung bereits im Inland die Erfindung in Benutzung genommen oder die dazu erforderlichen Veranstaltungen getroffen hatte. Dieser ist befugt, die Erfindung für die Bedürfnisse seines eigenen Betriebs in eigenen oder fremden Werkstätten auszunutzen. Die Befugnis kann nur zusammen mit dem Betrieb vererbt oder veräußert werden. Hat der Anmelder oder sein Rechtsvorgänger die Erfindung vor der Anmeldung anderen mitgeteilt und sich dabei seine Rechte für den Fall der Patenterteilung vorbehalten, so kann sich der, welcher die Erfindung infolge der Mitteilung erfahren hat, nicht auf Maßnahmen nach Satz 1 berufen, die er innerhalb von sechs Monaten nach der Mitteilung getroffen hat.</w:t>
      </w:r>
    </w:p>
    <w:p>
      <w:r>
        <w:t xml:space="preserve">(2) Steht dem Patentinhaber ein Prioritätsrecht zu, so ist an Stelle der in Absatz 1 bezeichneten Anmeldung die frühere Anmeldung maßgebend. Dies gilt jedoch nicht für Angehörige eines ausländischen Staates, der hierin keine Gegenseitigkeit verbürgt, soweit sie die Priorität einer ausländischen Anmeldung in Anspruch nehmen.</w:t>
      </w:r>
    </w:p>
    <w:p>
      <w:r>
        <w:rPr>
          <w:color w:val="555555"/>
          <w:sz w:val="17"/>
        </w:rPr>
        <w:t xml:space="preserve">Zitiervorschlag: § 12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