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PatG</w:t>
      </w:r>
    </w:p>
    <w:p>
      <w:r>
        <w:rPr>
          <w:color w:val="555555"/>
          <w:sz w:val="18"/>
        </w:rPr>
        <w:t xml:space="preserve">Patentgesetz</w:t>
      </w:r>
    </w:p>
    <w:p>
      <w:r>
        <w:rPr>
          <w:color w:val="555555"/>
          <w:sz w:val="18"/>
        </w:rPr>
        <w:t xml:space="preserve">Stand: 10.06.2019 (konsolidierte Textfassung, kein amtliches Inkrafttretensdatum)</w:t>
      </w:r>
    </w:p>
    <w:p>
      <w:r>
        <w:t xml:space="preserve">(1) Ergibt die Begründung des angefochtenen Urteils zwar eine Rechtsverletzung, stellt die Entscheidung selbst aber aus anderen Gründen sich als richtig dar, so ist die Berufung zurückzuweisen.</w:t>
      </w:r>
    </w:p>
    <w:p>
      <w:r>
        <w:t xml:space="preserve">(2) Insoweit die Berufung für begründet erachtet wird, ist das angefochtene Urteil aufzuheben. Wird das Urteil wegen eines Mangels des Verfahrens aufgehoben, so ist zugleich das Verfahren insoweit aufzuheben, als es durch den Mangel betroffen wird.</w:t>
      </w:r>
    </w:p>
    <w:p>
      <w:r>
        <w:t xml:space="preserve">(3) Im Falle der Aufhebung des Urteils ist die Sache zur neuen Verhandlung und Entscheidung an das Patentgericht zurückzuverweisen. Die Zurückverweisung kann an einen anderen Nichtigkeitssenat erfolgen.</w:t>
      </w:r>
    </w:p>
    <w:p>
      <w:r>
        <w:t xml:space="preserve">(4) Das Patentgericht hat die rechtliche Beurteilung, die der Aufhebung zugrunde gelegt ist, auch seiner Entscheidung zugrunde zu legen.</w:t>
      </w:r>
    </w:p>
    <w:p>
      <w:r>
        <w:t xml:space="preserve">(5) Der Bundesgerichtshof kann in der Sache selbst entscheiden, wenn dies sachdienlich ist. Er hat selbst zu entscheiden, wenn die Sache zur Endentscheidung reif ist.</w:t>
      </w:r>
    </w:p>
    <w:p>
      <w:r>
        <w:rPr>
          <w:color w:val="555555"/>
          <w:sz w:val="17"/>
        </w:rPr>
        <w:t xml:space="preserve">Zitiervorschlag: § 119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