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Urteil des Bundesgerichtshofs ergeht auf Grund mündlicher Verhandlung. § 69 Abs. 2 gilt entsprechend.</w:t>
      </w:r>
    </w:p>
    <w:p>
      <w:r>
        <w:t xml:space="preserve">(2) Die Ladungsfrist beträgt mindestens zwei Wochen.</w:t>
      </w:r>
    </w:p>
    <w:p>
      <w:r>
        <w:t xml:space="preserve">(3) Von der mündlichen Verhandlung kann abgesehen werden, wenn</w:t>
      </w:r>
    </w:p>
    <w:p>
      <w:pPr>
        <w:ind w:left="420"/>
      </w:pPr>
      <w:r>
        <w:t xml:space="preserve">1. die Parteien zustimmen oder</w:t>
      </w:r>
    </w:p>
    <w:p>
      <w:pPr>
        <w:ind w:left="420"/>
      </w:pPr>
      <w:r>
        <w:t xml:space="preserve">2. nur über die Kosten entschieden werden soll.</w:t>
      </w:r>
    </w:p>
    <w:p>
      <w:r>
        <w:t xml:space="preserve">(4) Erscheint eine Partei im Termin nicht, so kann ohne sie verhandelt und durch streitiges Urteil entschieden werden. Erscheint keine der Parteien, ergeht das Urteil auf Grund der Akten.</w:t>
      </w:r>
    </w:p>
    <w:p>
      <w:r>
        <w:rPr>
          <w:color w:val="555555"/>
          <w:sz w:val="17"/>
        </w:rPr>
        <w:t xml:space="preserve">Zitiervorschlag: § 118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