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 des Bundesgerichtshofs unterliegen nur die von den Parteien gestellten Anträge.</w:t>
      </w:r>
    </w:p>
    <w:p>
      <w:r>
        <w:t xml:space="preserve">(2) Eine Klageänderung und in dem Verfahren wegen Erklärung der Nichtigkeit des Patents oder des ergänzenden Schutzzertifikats eine Verteidigung mit einer geänderten Fassung des Patents sind nur zulässig, wenn</w:t>
      </w:r>
    </w:p>
    <w:p>
      <w:pPr>
        <w:ind w:left="420"/>
      </w:pPr>
      <w:r>
        <w:t xml:space="preserve">1. der Gegner einwilligt oder der Bundesgerichtshof die Antragsänderung für sachdienlich hält und</w:t>
      </w:r>
    </w:p>
    <w:p>
      <w:pPr>
        <w:ind w:left="420"/>
      </w:pPr>
      <w:r>
        <w:t xml:space="preserve">2. die geänderten Anträge auf Tatsachen gestützt werden können, die der Bundesgerichtshof seiner Verhandlung und Entscheidung über die Berufung nach § 117 zugrunde zu legen hat.</w:t>
      </w:r>
    </w:p>
    <w:p>
      <w:r>
        <w:rPr>
          <w:color w:val="555555"/>
          <w:sz w:val="17"/>
        </w:rPr>
        <w:t xml:space="preserve">Zitiervorschlag: § 116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