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der Aufhebung des angefochtenen Beschlusses ist die Sache zur anderweiten Verhandlung und Entscheidung an das Patentgericht zurückzuverweisen.</w:t>
      </w:r>
    </w:p>
    <w:p>
      <w:r>
        <w:t xml:space="preserve">(2) Das Patentgericht hat die rechtliche Beurteilung, die der Aufhebung zugrunde gelegt ist, auch seiner Entscheidung zugrunde zu legen.</w:t>
      </w:r>
    </w:p>
    <w:p>
      <w:r>
        <w:rPr>
          <w:color w:val="555555"/>
          <w:sz w:val="17"/>
        </w:rPr>
        <w:t xml:space="preserve">Zitiervorschlag: § 108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