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die Rechtsbeschwerde ergeht durch Beschluß; sie kann ohne mündliche Verhandlung getroffen werden.</w:t>
      </w:r>
    </w:p>
    <w:p>
      <w:r>
        <w:t xml:space="preserve">(2) Der Bundesgerichtshof ist bei seiner Entscheidung an die in dem angefochtenen Beschluß getroffenen tatsächlichen Feststellungen gebunden, außer wenn in bezug auf diese Feststellungen zulässige und begründete Rechtsbeschwerdegründe vorgebracht sind.</w:t>
      </w:r>
    </w:p>
    <w:p>
      <w:r>
        <w:t xml:space="preserve">(3) Die Entscheidung ist zu begründen und den Beteiligten von Amts wegen zuzustellen.</w:t>
      </w:r>
    </w:p>
    <w:p>
      <w:r>
        <w:rPr>
          <w:color w:val="555555"/>
          <w:sz w:val="17"/>
        </w:rPr>
        <w:t xml:space="preserve">Zitiervorschlag: § 107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