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PatG</w:t>
      </w:r>
    </w:p>
    <w:p>
      <w:r>
        <w:rPr>
          <w:color w:val="555555"/>
          <w:sz w:val="18"/>
        </w:rPr>
        <w:t xml:space="preserve">Patentgesetz</w:t>
      </w:r>
    </w:p>
    <w:p>
      <w:r>
        <w:rPr>
          <w:color w:val="555555"/>
          <w:sz w:val="18"/>
        </w:rPr>
        <w:t xml:space="preserve">Stand: 10.06.2019 (konsolidierte Textfassung, kein amtliches Inkrafttretensdatum)</w:t>
      </w:r>
    </w:p>
    <w:p>
      <w:r>
        <w:t xml:space="preserve">(1) Im Verfahren über die Rechtsbeschwerde gelten die Vorschriften der Zivilprozeßordnung über Ausschließung und Ablehnung der Gerichtspersonen, über Prozeßbevollmächtigte und Beistände, über Zustellungen von Amts wegen, über Ladungen, Termine und Fristen und über Wiedereinsetzung in den vorigen Stand entsprechend. Im Falle der Wiedereinsetzung in den vorigen Stand gilt § 123 Abs. 5 bis 7 entsprechend.</w:t>
      </w:r>
    </w:p>
    <w:p>
      <w:r>
        <w:t xml:space="preserve">(2) Für die Öffentlichkeit des Verfahrens gilt § 69 Abs. 1 entsprechend.</w:t>
      </w:r>
    </w:p>
    <w:p>
      <w:r>
        <w:rPr>
          <w:color w:val="555555"/>
          <w:sz w:val="17"/>
        </w:rPr>
        <w:t xml:space="preserve">Zitiervorschlag: § 106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