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ist innerhalb eines Monats nach Zustellung des Beschlusses beim Bundesgerichtshof schriftlich einzulegen.</w:t>
      </w:r>
    </w:p>
    <w:p>
      <w:r>
        <w:t xml:space="preserve">(2) In dem Rechtsbeschwerdeverfahren vor dem Bundesgerichtshof gelten die Bestimmungen des § 144 über die Streitwertfestsetzung entsprechend.</w:t>
      </w:r>
    </w:p>
    <w:p>
      <w:r>
        <w:t xml:space="preserve">(3) Die Rechtsbeschwerde ist zu begründen. Die Frist für die Begründung beträgt einen Monat; sie beginnt mit der Einlegung der Rechtsbeschwerde und kann auf Antrag von dem Vorsitzenden verlängert werden.</w:t>
      </w:r>
    </w:p>
    <w:p>
      <w:r>
        <w:t xml:space="preserve">(4) Die Begründung der Rechtsbeschwerde muß enthalten</w:t>
      </w:r>
    </w:p>
    <w:p>
      <w:pPr>
        <w:ind w:left="420"/>
      </w:pPr>
      <w:r>
        <w:t xml:space="preserve">1. die Erklärung, inwieweit der Beschluß angefochten und seine Abänderung oder Aufhebung beantragt wird;</w:t>
      </w:r>
    </w:p>
    <w:p>
      <w:pPr>
        <w:ind w:left="420"/>
      </w:pPr>
      <w:r>
        <w:t xml:space="preserve">2. die Bezeichnung der verletzten Rechtsnorm;</w:t>
      </w:r>
    </w:p>
    <w:p>
      <w:pPr>
        <w:ind w:left="420"/>
      </w:pPr>
      <w:r>
        <w:t xml:space="preserve">3. insoweit die Rechtsbeschwerde darauf gestützt wird, daß das Gesetz in bezug auf das Verfahren verletzt sei, die Bezeichnung der Tatsachen, die den Mangel ergeben.</w:t>
      </w:r>
    </w:p>
    <w:p>
      <w:r>
        <w:t xml:space="preserve">(5) Vor dem Bundesgerichtshof müssen sich die Beteiligten durch einen beim Bundesgerichtshof zugelassenen Rechtsanwalt als Bevollmächtigten vertreten lassen. Auf Antrag eines Beteiligten ist seinem Patentanwalt das Wort zu gestatten. § 143 Abs. 3 gilt entsprechend.</w:t>
      </w:r>
    </w:p>
    <w:p>
      <w:r>
        <w:rPr>
          <w:color w:val="555555"/>
          <w:sz w:val="17"/>
        </w:rPr>
        <w:t xml:space="preserve">Zitiervorschlag: § 102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