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PatAnwVV — Suchfunktion</w:t>
      </w:r>
    </w:p>
    <w:p>
      <w:r>
        <w:rPr>
          <w:color w:val="555555"/>
          <w:sz w:val="18"/>
        </w:rPr>
        <w:t xml:space="preserve">Patentanwaltsverzeichnisverordnung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Patentanwaltskammer hat die Einsichtnahme in ihr Verzeichnis über eine Suchfunktion zu gewährleisten. Die Suchfunktion hat die alternative und die kumulative Suche anhand folgender Angaben zu ermöglichen:</w:t>
      </w:r>
    </w:p>
    <w:p>
      <w:pPr>
        <w:ind w:left="420"/>
      </w:pPr>
      <w:r>
        <w:t xml:space="preserve">1. Familienname; ist als Zusatz hierzu ein Berufsname eingetragen, muss auch dieser bei der Suche gefunden werden können;</w:t>
      </w:r>
    </w:p>
    <w:p>
      <w:pPr>
        <w:ind w:left="420"/>
      </w:pPr>
      <w:r>
        <w:t xml:space="preserve">2. Vorname;</w:t>
      </w:r>
    </w:p>
    <w:p>
      <w:pPr>
        <w:ind w:left="420"/>
      </w:pPr>
      <w:r>
        <w:t xml:space="preserve">3. Anschrift der Kanzlei oder Zweigstelle;</w:t>
      </w:r>
    </w:p>
    <w:p>
      <w:pPr>
        <w:ind w:left="420"/>
      </w:pPr>
      <w:r>
        <w:t xml:space="preserve">4. Kanzleiname, Name oder Firma der Berufsausübungsgesellschaft oder Name der Zweigstelle;</w:t>
      </w:r>
    </w:p>
    <w:p>
      <w:pPr>
        <w:ind w:left="420"/>
      </w:pPr>
      <w:r>
        <w:t xml:space="preserve">5. Berufsbezeichnung.</w:t>
      </w:r>
    </w:p>
    <w:p>
      <w:r>
        <w:t xml:space="preserve">(2) Die Nutzung der Suchfunktion kann von der Eingabe eines auf der Internetseite angegebenen Sicherheitscodes abhängig gemacht werden.</w:t>
      </w:r>
    </w:p>
    <w:p>
      <w:r>
        <w:rPr>
          <w:color w:val="555555"/>
          <w:sz w:val="17"/>
        </w:rPr>
        <w:t xml:space="preserve">Zitiervorschlag: § 7 PatAnwVV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https://recht.nulegal.eu/gesetze/PatAnwVV/7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