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PatAnwVV — Einsichtnahme in das Verzeichnis</w:t>
      </w:r>
    </w:p>
    <w:p>
      <w:r>
        <w:rPr>
          <w:color w:val="555555"/>
          <w:sz w:val="18"/>
        </w:rPr>
        <w:t xml:space="preserve">Patentanwaltsverzeichnisverordnung</w:t>
      </w:r>
    </w:p>
    <w:p>
      <w:r>
        <w:rPr>
          <w:color w:val="555555"/>
          <w:sz w:val="18"/>
        </w:rPr>
        <w:t xml:space="preserve">Stand: 01.08.2022 (konsolidierte Textfassung, kein amtliches Inkrafttretensdatum)</w:t>
      </w:r>
    </w:p>
    <w:p>
      <w:r>
        <w:t xml:space="preserve">(1) Die Einsichtnahme in das Verzeichnis der Patentanwaltskammer muss über das Internet jederzeit kostenfrei und ohne vorherige Registrierung möglich sein.</w:t>
      </w:r>
    </w:p>
    <w:p>
      <w:r>
        <w:t xml:space="preserve">(2) Eine anstelle der Kanzleianschrift in das Verzeichnis eingetragene zustellfähige Anschrift ist nicht einsehbar.</w:t>
      </w:r>
    </w:p>
    <w:p>
      <w:r>
        <w:rPr>
          <w:color w:val="555555"/>
          <w:sz w:val="17"/>
        </w:rPr>
        <w:t xml:space="preserve">Zitiervorschlag: § 6 PatAnwVV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https://recht.nulegal.eu/gesetze/PatAnwVV/6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