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PatAnwVV — Berichtigungen des Verzeichnisses; Auskunftsersuchen</w:t>
      </w:r>
    </w:p>
    <w:p>
      <w:r>
        <w:rPr>
          <w:color w:val="555555"/>
          <w:sz w:val="18"/>
        </w:rPr>
        <w:t xml:space="preserve">Patentanwaltsverzeichnisverordnung</w:t>
      </w:r>
    </w:p>
    <w:p>
      <w:r>
        <w:rPr>
          <w:color w:val="555555"/>
          <w:sz w:val="18"/>
        </w:rPr>
        <w:t xml:space="preserve">Stand: 01.08.2022 (konsolidierte Textfassung, kein amtliches Inkrafttretensdatum)</w:t>
      </w:r>
    </w:p>
    <w:p>
      <w:r>
        <w:t xml:space="preserve">Stellt die Patentanwaltskammer fest, dass Eintragungen in ihrem Verzeichnis unrichtig oder unvollständig sind, hat sie diese unverzüglich zu berichtigen. Insbesondere sind nicht mehr bestehende Berufs-, Berufsausübungs- oder Vertretungsverbote unverzüglich aus dem Verzeichnis zu löschen. Bestehen Zweifel an der Richtigkeit oder Vollständigkeit des Verzeichnisses, hat die Patentanwaltskammer Auskünfte einzuholen und gegebenenfalls die Vorlage von Nachweisen durch die eingetragene Person oder Berufsausübungsgesellschaft zu verlangen.</w:t>
      </w:r>
    </w:p>
    <w:p>
      <w:r>
        <w:rPr>
          <w:color w:val="555555"/>
          <w:sz w:val="17"/>
        </w:rPr>
        <w:t xml:space="preserve">Zitiervorschlag: § 4 PatAnwVV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https://recht.nulegal.eu/gesetze/PatAnwVV/4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