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99 PatAnwO — Keine Verhaftung des Patentanwalts</w:t>
      </w:r>
    </w:p>
    <w:p>
      <w:r>
        <w:rPr>
          <w:color w:val="555555"/>
          <w:sz w:val="18"/>
        </w:rPr>
        <w:t xml:space="preserve">Patentanwaltsordnung</w:t>
      </w:r>
    </w:p>
    <w:p>
      <w:r>
        <w:rPr>
          <w:color w:val="555555"/>
          <w:sz w:val="18"/>
        </w:rPr>
        <w:t xml:space="preserve">Stand: 10.06.2019 (konsolidierte Textfassung, kein amtliches Inkrafttretensdatum)</w:t>
      </w:r>
    </w:p>
    <w:p>
      <w:r>
        <w:t xml:space="preserve">Der Patentanwalt darf zur Durchführung des berufsgerichtlichen Verfahrens weder vorläufig festgenommen noch verhaftet oder vorgeführt werden. Er kann nicht zur Vorbereitung eines Gutachtens über seinen psychischen Zustand in ein psychiatrisches Krankenhaus gebracht werden.</w:t>
      </w:r>
    </w:p>
    <w:p>
      <w:r>
        <w:rPr>
          <w:color w:val="555555"/>
          <w:sz w:val="17"/>
        </w:rPr>
        <w:t xml:space="preserve">Zitiervorschlag: § 99 PatAnwO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https://recht.nulegal.eu/gesetze/PatAnwO/99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