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97b PatAnwO — Anderweitige Ahndung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Von einer berufsgerichtlichen Ahndung ist abzusehen, wenn</w:t>
      </w:r>
    </w:p>
    <w:p>
      <w:pPr>
        <w:ind w:left="420"/>
      </w:pPr>
      <w:r>
        <w:t xml:space="preserve">1. durch ein Gericht oder eine Behörde wegen desselben Verhaltens bereits eine Strafe, eine Geldbuße nach dem Gesetz über Ordnungswidrigkeiten oder eine berufsaufsichtliche Maßnahme verhängt worden ist oder</w:t>
      </w:r>
    </w:p>
    <w:p>
      <w:pPr>
        <w:ind w:left="420"/>
      </w:pPr>
      <w:r>
        <w:t xml:space="preserve">2. das Verhalten nach § 153a Absatz 1 Satz 5, auch in Verbindung mit Absatz 2 Satz 2, der Strafprozessordnung nicht mehr als Vergehen verfolgt werden kann.</w:t>
      </w:r>
    </w:p>
    <w:p>
      <w:r>
        <w:t xml:space="preserve">Satz 1 gilt nicht, wenn eine berufsgerichtliche Maßnahme zusätzlich erforderlich ist, um den Patentanwalt zur Erfüllung seiner Pflichten anzuhalten. Die Erforderlichkeit einer Maßnahme nach § 96 Absatz 1 Nummer 4 oder Absatz 2 Nummer 4 bleibt durch eine anderweitige Ahndung unberührt.</w:t>
      </w:r>
    </w:p>
    <w:p>
      <w:r>
        <w:rPr>
          <w:color w:val="555555"/>
          <w:sz w:val="17"/>
        </w:rPr>
        <w:t xml:space="preserve">Zitiervorschlag: § 97b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