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97 PatAnwO — Verjährung von Pflichtverletzungen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Verfolgung einer Pflichtverletzung verjährt nach fünf Jahren. Abweichend davon verjährt die Verfolgung einer Pflichtverletzung, die eine Maßnahme nach § 96 Absatz 1 Nummer 4 oder Absatz 2 Nummer 4 rechtfertigt, nach 20 Jahren. Die Verjährung beginnt, sobald die Tat beendet ist.</w:t>
      </w:r>
    </w:p>
    <w:p>
      <w:r>
        <w:t xml:space="preserve">(2) Für das Ruhen der Verjährung gilt § 78b Absatz 1 bis 3 des Strafgesetzbuches entsprechend. Die Verjährung ruht zudem für die Dauer</w:t>
      </w:r>
    </w:p>
    <w:p>
      <w:pPr>
        <w:ind w:left="420"/>
      </w:pPr>
      <w:r>
        <w:t xml:space="preserve">1. eines wegen desselben Verhaltens eingeleiteten Straf- oder Bußgeldverfahrens,</w:t>
      </w:r>
    </w:p>
    <w:p>
      <w:pPr>
        <w:ind w:left="420"/>
      </w:pPr>
      <w:r>
        <w:t xml:space="preserve">2. eines wegen desselben Verhaltens eingeleiteten vorrangigen berufsaufsichtlichen Verfahrens und</w:t>
      </w:r>
    </w:p>
    <w:p>
      <w:pPr>
        <w:ind w:left="420"/>
      </w:pPr>
      <w:r>
        <w:t xml:space="preserve">3. einer Aussetzung des Verfahrens nach § 102b.</w:t>
      </w:r>
    </w:p>
    <w:p>
      <w:r>
        <w:t xml:space="preserve">(3) Für die Unterbrechung der Verjährung gilt § 78c Absatz 1 bis 4 des Strafgesetzbuches entsprechend.</w:t>
      </w:r>
    </w:p>
    <w:p>
      <w:r>
        <w:rPr>
          <w:color w:val="555555"/>
          <w:sz w:val="17"/>
        </w:rPr>
        <w:t xml:space="preserve">Zitiervorschlag: § 97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https://recht.nulegal.eu/gesetze/PatAnwO/97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