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PatAnwO — Berufsgerichtliche Maßnahmen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Berufsgerichtliche Maßnahmen sind bei Verfahren gegen Patentanwälte</w:t>
      </w:r>
    </w:p>
    <w:p>
      <w:pPr>
        <w:ind w:left="420"/>
      </w:pPr>
      <w:r>
        <w:t xml:space="preserve">1. Warnung,</w:t>
      </w:r>
    </w:p>
    <w:p>
      <w:pPr>
        <w:ind w:left="420"/>
      </w:pPr>
      <w:r>
        <w:t xml:space="preserve">2. Verweis,</w:t>
      </w:r>
    </w:p>
    <w:p>
      <w:pPr>
        <w:ind w:left="420"/>
      </w:pPr>
      <w:r>
        <w:t xml:space="preserve">3. Geldbuße bis zu fünfzigtausend Euro,</w:t>
      </w:r>
    </w:p>
    <w:p>
      <w:pPr>
        <w:ind w:left="420"/>
      </w:pPr>
      <w:r>
        <w:t xml:space="preserve">4. Ausschließung aus der Patentanwaltschaft.</w:t>
      </w:r>
    </w:p>
    <w:p>
      <w:r>
        <w:t xml:space="preserve">(1a) Im Fall des § 69 Absatz 2 Satz 2 tritt an die Stelle der Ausschließung aus der Patentanwaltschaft</w:t>
      </w:r>
    </w:p>
    <w:p>
      <w:pPr>
        <w:ind w:left="420"/>
      </w:pPr>
      <w:r>
        <w:t xml:space="preserve">1. bei Mitgliedern von Geschäftsführungsorganen die Aberkennung der Eignung, eine Berufsausübungsgesellschaft zu vertreten und ihre Geschäfte zu führen, und</w:t>
      </w:r>
    </w:p>
    <w:p>
      <w:pPr>
        <w:ind w:left="420"/>
      </w:pPr>
      <w:r>
        <w:t xml:space="preserve">2. bei Mitgliedern eines Aufsichtsorgans die Aberkennung der Eignung, Aufsichtsfunktionen einer Berufsausübungsgesellschaft wahrzunehmen.</w:t>
      </w:r>
    </w:p>
    <w:p>
      <w:r>
        <w:t xml:space="preserve">(2) Berufsgerichtliche Maßnahmen sind bei Verfahren gegen Berufsausübungsgesellschaften</w:t>
      </w:r>
    </w:p>
    <w:p>
      <w:pPr>
        <w:ind w:left="420"/>
      </w:pPr>
      <w:r>
        <w:t xml:space="preserve">1. Warnung,</w:t>
      </w:r>
    </w:p>
    <w:p>
      <w:pPr>
        <w:ind w:left="420"/>
      </w:pPr>
      <w:r>
        <w:t xml:space="preserve">2. Verweis,</w:t>
      </w:r>
    </w:p>
    <w:p>
      <w:pPr>
        <w:ind w:left="420"/>
      </w:pPr>
      <w:r>
        <w:t xml:space="preserve">3. Geldbuße bis zu fünfhunderttausend Euro,</w:t>
      </w:r>
    </w:p>
    <w:p>
      <w:pPr>
        <w:ind w:left="420"/>
      </w:pPr>
      <w:r>
        <w:t xml:space="preserve">4. Aberkennung der Befugnis zur Beratung und Vertretung nach § 3.</w:t>
      </w:r>
    </w:p>
    <w:p>
      <w:r>
        <w:t xml:space="preserve">(3) Die berufsgerichtlichen Maßnahmen des Verweises und der Geldbuße können nebeneinander verhängt werden.</w:t>
      </w:r>
    </w:p>
    <w:p>
      <w:r>
        <w:rPr>
          <w:color w:val="555555"/>
          <w:sz w:val="17"/>
        </w:rPr>
        <w:t xml:space="preserve">Zitiervorschlag: § 96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