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94f PatAnwO — Rechtsschutz bei überlangen Gerichtsverfahren</w:t>
      </w:r>
    </w:p>
    <w:p>
      <w:r>
        <w:rPr>
          <w:color w:val="555555"/>
          <w:sz w:val="18"/>
        </w:rPr>
        <w:t xml:space="preserve">Patentanwaltsordnung</w:t>
      </w:r>
    </w:p>
    <w:p>
      <w:r>
        <w:rPr>
          <w:color w:val="555555"/>
          <w:sz w:val="18"/>
        </w:rPr>
        <w:t xml:space="preserve">Stand: 10.06.2019 (konsolidierte Textfassung, kein amtliches Inkrafttretensdatum)</w:t>
      </w:r>
    </w:p>
    <w:p>
      <w:r>
        <w:t xml:space="preserve">Auf den Rechtsschutz bei überlangen Gerichtsverfahren sind die Vorschriften des Siebzehnten Titels des Gerichtsverfassungsgesetzes anzuwenden. Die Vorschriften dieses Gesetzes, die die Besetzung des Senats für Patentanwaltssachen bei dem Oberlandesgericht und bei dem Bundesgerichtshof regeln, sind nicht anzuwenden.</w:t>
      </w:r>
    </w:p>
    <w:p>
      <w:r>
        <w:rPr>
          <w:color w:val="555555"/>
          <w:sz w:val="17"/>
        </w:rPr>
        <w:t xml:space="preserve">Zitiervorschlag: § 94f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https://recht.nulegal.eu/gesetze/PatAnwO/94f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