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94e PatAnwO — Klagen gegen Wahlen und Beschlüsse</w:t>
      </w:r>
    </w:p>
    <w:p>
      <w:r>
        <w:rPr>
          <w:color w:val="555555"/>
          <w:sz w:val="18"/>
        </w:rPr>
        <w:t xml:space="preserve">Patentanwaltsordnung</w:t>
      </w:r>
    </w:p>
    <w:p>
      <w:r>
        <w:rPr>
          <w:color w:val="555555"/>
          <w:sz w:val="18"/>
        </w:rPr>
        <w:t xml:space="preserve">Stand: 01.08.2022 (konsolidierte Textfassung, kein amtliches Inkrafttretensdatum)</w:t>
      </w:r>
    </w:p>
    <w:p>
      <w:r>
        <w:t xml:space="preserve">(1) Wahlen nach § 58 Absatz 2 sowie Wahlen und Beschlüsse der Organe der Patentanwaltskammer mit Ausnahme von Beschlüssen nach § 82 Absatz 2 Nummer 1 können für ungültig oder nichtig erklärt werden, wenn sie unter Verletzung des Gesetzes oder der Satzung zustande gekommen oder wenn sie ihrem Inhalt nach mit dem Gesetz oder der Satzung nicht vereinbar sind.</w:t>
      </w:r>
    </w:p>
    <w:p>
      <w:r>
        <w:t xml:space="preserve">(2) Die Klage kann durch den Präsidenten des Deutschen Patent- und Markenamts oder ein Mitglied der Patentanwaltskammer erhoben werden. Die Klage eines Mitglieds der Patentanwaltskammer gegen einen Beschluss ist nur zulässig, wenn es geltend macht, durch den Beschluss in seinen Rechten verletzt zu sein.</w:t>
      </w:r>
    </w:p>
    <w:p>
      <w:r>
        <w:t xml:space="preserve">(3) Ein Mitglied der Kammer kann den Antrag nur innerhalb eines Monats nach der Wahl oder Beschlussfassung stellen.</w:t>
      </w:r>
    </w:p>
    <w:p>
      <w:r>
        <w:rPr>
          <w:color w:val="555555"/>
          <w:sz w:val="17"/>
        </w:rPr>
        <w:t xml:space="preserve">Zitiervorschlag: § 94e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https://recht.nulegal.eu/gesetze/PatAnwO/94e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