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94b PatAnwO — Anwendung der Verwaltungsgerichtsordnung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dieses Gesetz keine abweichenden Bestimmungen über das gerichtliche Verfahren enthält, gelten die Vorschriften der Verwaltungsgerichtsordnung entsprechend. Das Oberlandesgericht steht einem Oberverwaltungsgericht gleich; § 94d bleibt unberührt.</w:t>
      </w:r>
    </w:p>
    <w:p>
      <w:r>
        <w:t xml:space="preserve">(2) Die Vorschriften der Verwaltungsgerichtsordnung über die Mitwirkung ehrenamtlicher Richter sowie die §§ 35, 36 und 47 der Verwaltungsgerichtsordnung sind nicht anzuwenden. Die Fristen des § 116 Absatz 2 und des § 117 Absatz 4 der Verwaltungsgerichtsordnung betragen jeweils fünf Wochen.</w:t>
      </w:r>
    </w:p>
    <w:p>
      <w:r>
        <w:t xml:space="preserve">(3) Patentanwälte und Patentassessoren können sich selbst vertreten.</w:t>
      </w:r>
    </w:p>
    <w:p>
      <w:r>
        <w:t xml:space="preserve">(4) Die aufschiebende Wirkung der Anfechtungsklage endet abweichend von § 80b der Verwaltungsgerichtsordnung mit der Unanfechtbarkeit des Verwaltungsaktes.</w:t>
      </w:r>
    </w:p>
    <w:p>
      <w:r>
        <w:rPr>
          <w:color w:val="555555"/>
          <w:sz w:val="17"/>
        </w:rPr>
        <w:t xml:space="preserve">Zitiervorschlag: § 94b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https://recht.nulegal.eu/gesetze/PatAnwO/94b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