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PatAnwO — Rechtsstellung der patentanwaltlichen Mitglieder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patentanwaltlichen Mitglieder sind ehrenamtliche Richter. Sie haben in ihrer Eigenschaft als ehrenamtliche Richter während der Dauer ihres Amtes die Stellung eines Berufsrichters. Sie erhalten eine Entschädigung nach dem Justizvergütungs- und -entschädigungsgesetz.</w:t>
      </w:r>
    </w:p>
    <w:p>
      <w:r>
        <w:t xml:space="preserve">(2) Die patentanwaltlichen Mitglieder haben über Angelegenheiten, die ihnen bei ihrer richterlichen Tätigkeit bekanntwerden, Verschwiegenheit zu bewahren. § 71 Absatz 1 und 2 ist entsprechend anzuwenden. Die Genehmigung zur Aussage erteilt der Präsident des Gerichts, dem das patentanwaltliche Mitglied angehört.</w:t>
      </w:r>
    </w:p>
    <w:p>
      <w:r>
        <w:rPr>
          <w:color w:val="555555"/>
          <w:sz w:val="17"/>
        </w:rPr>
        <w:t xml:space="preserve">Zitiervorschlag: § 88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