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PatAnwO — Patentanwaltliche Mitglieder</w:t>
      </w:r>
    </w:p>
    <w:p>
      <w:r>
        <w:rPr>
          <w:color w:val="555555"/>
          <w:sz w:val="18"/>
        </w:rPr>
        <w:t xml:space="preserve">Patentanwaltsordnung</w:t>
      </w:r>
    </w:p>
    <w:p>
      <w:r>
        <w:rPr>
          <w:color w:val="555555"/>
          <w:sz w:val="18"/>
        </w:rPr>
        <w:t xml:space="preserve">Stand: 01.08.2022 (konsolidierte Textfassung, kein amtliches Inkrafttretensdatum)</w:t>
      </w:r>
    </w:p>
    <w:p>
      <w:r>
        <w:t xml:space="preserve">(1) Die Mitglieder der Kammer für Patentanwaltssachen und des Senats für Patentanwaltssachen, die Patentanwälte sind, werden von der für den Sitz der Gerichte zuständigen Landesjustizverwaltung ernannt. Sie werden den Vorschlagslisten entnommen, die der Vorstand der Patentanwaltskammer der Landesjustizverwaltung je gesondert für das Landgericht und das Oberlandesgericht einreicht. Die Landesjustizverwaltung bestimmt, welche Zahl von patentanwaltlichen Mitgliedern erforderlich ist; sie hat vorher die Patentanwaltskammer zu hören. Jede Vorschlagsliste muß mindestens die Hälfte mehr als die erforderliche Zahl der patentanwaltlichen Mitglieder enthalten.</w:t>
      </w:r>
    </w:p>
    <w:p>
      <w:r>
        <w:t xml:space="preserve">(2) Die Landesregierung wird ermächtigt, die der Landesjustizverwaltung nach Absatz 1 zustehenden Befugnisse durch Rechtsverordnung auf der Landesjustizverwaltung nachgeordnete Behörden zu übertragen. Die Landesregierung kann die Ermächtigung nach Satz 1 durch Rechtsverordnung auf die Landesjustizverwaltung übertragen.</w:t>
      </w:r>
    </w:p>
    <w:p>
      <w:r>
        <w:t xml:space="preserve">(3) Zum patentanwaltlichen Mitglied kann nur ein Patentanwalt ernannt werden, der in den Vorstand der Patentanwaltskammer gewählt werden kann. Die patentanwaltlichen Mitglieder dürfen nicht gleichzeitig</w:t>
      </w:r>
    </w:p>
    <w:p>
      <w:pPr>
        <w:ind w:left="420"/>
      </w:pPr>
      <w:r>
        <w:t xml:space="preserve">1. dem Vorstand der Patentanwaltskammer angehören,</w:t>
      </w:r>
    </w:p>
    <w:p>
      <w:pPr>
        <w:ind w:left="420"/>
      </w:pPr>
      <w:r>
        <w:t xml:space="preserve">2. bei der Patentanwaltskammer im Haupt- oder Nebenberuf tätig sein oder</w:t>
      </w:r>
    </w:p>
    <w:p>
      <w:pPr>
        <w:ind w:left="420"/>
      </w:pPr>
      <w:r>
        <w:t xml:space="preserve">3. einem anderen Gericht der Patentanwaltsgerichtsbarkeit angehören.</w:t>
      </w:r>
    </w:p>
    <w:p>
      <w:r>
        <w:t xml:space="preserve">(4) Die patentanwaltlichen Mitglieder werden für die Dauer von fünf Jahren ernannt. Sie können nach Ablauf ihrer Amtszeit wiederernannt werden. Scheidet ein patentanwaltliches Mitglied vorzeitig aus, so wird für den Rest seiner Amtszeit ein Nachfolger ernannt.</w:t>
      </w:r>
    </w:p>
    <w:p>
      <w:r>
        <w:t xml:space="preserve">(5) (weggefallen)</w:t>
      </w:r>
    </w:p>
    <w:p>
      <w:r>
        <w:rPr>
          <w:color w:val="555555"/>
          <w:sz w:val="17"/>
        </w:rPr>
        <w:t xml:space="preserve">Zitiervorschlag: § 87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