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PatAnwO — Senat für Patentanwaltssachen bei dem Oberlandesgericht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Angelegenheiten, die in diesem Gesetz dem Oberlandesgericht zugewiesen sind, wird bei dem Oberlandesgericht, zu dessen Bezirk das Landgericht (§ 85) gehört, ein Senat für Patentanwaltssachen gebildet.</w:t>
      </w:r>
    </w:p>
    <w:p>
      <w:r>
        <w:t xml:space="preserve">(2) Der Senat für Patentanwaltssachen entscheidet in der Besetzung mit dem Vorsitzenden, zwei weiteren Mitgliedern des Oberlandesgerichts und zwei Patentanwälten.</w:t>
      </w:r>
    </w:p>
    <w:p>
      <w:r>
        <w:rPr>
          <w:color w:val="555555"/>
          <w:sz w:val="17"/>
        </w:rPr>
        <w:t xml:space="preserve">Zitiervorschlag: § 86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