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PatAnwO — Kammer für Patentanwaltssachen bei dem Landgericht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Für Angelegenheiten, die in diesem Gesetz dem Landgericht zugewiesen sind, wird bei dem Landgericht, in dessen Bezirk das Deutsche Patent- und Markenamt seinen Sitz hat, eine Kammer für Patentanwaltssachen gebildet.</w:t>
      </w:r>
    </w:p>
    <w:p>
      <w:r>
        <w:t xml:space="preserve">(2) Die Kammer für Patentanwaltssachen entscheidet in der Besetzung mit einem Mitglied des Landgerichts als Vorsitzendem und zwei Patentanwälten.</w:t>
      </w:r>
    </w:p>
    <w:p>
      <w:r>
        <w:rPr>
          <w:color w:val="555555"/>
          <w:sz w:val="17"/>
        </w:rPr>
        <w:t xml:space="preserve">Zitiervorschlag: § 85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