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PatAnwO — Wahlen und Beschlüsse der Kammerversammlung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Voraussetzungen, unter denen die Kammerversammlung beschlußfähig ist, werden durch die Satzung geregelt.</w:t>
      </w:r>
    </w:p>
    <w:p>
      <w:r>
        <w:t xml:space="preserve">(2) Die Mitglieder können ihr Wahl- oder Stimmrecht nur persönlich ausüben.</w:t>
      </w:r>
    </w:p>
    <w:p>
      <w:r>
        <w:t xml:space="preserve">(3) Die Beschlüsse der Kammerversammlung werden mit einfacher Stimmenmehrheit gefaßt. Das gleiche gilt für Wahlen. Bei Stimmengleichheit gibt die Stimme des Vorsitzenden den Ausschlag, bei Wahlen entscheidet das Los.</w:t>
      </w:r>
    </w:p>
    <w:p>
      <w:r>
        <w:t xml:space="preserve">(4) Ein Mitglied darf in eigenen Angelegenheiten nicht mitstimmen. Dies gilt jedoch nicht für Wahlen.</w:t>
      </w:r>
    </w:p>
    <w:p>
      <w:r>
        <w:t xml:space="preserve">(5) Über die Beschlüsse und über die Ergebnisse von Wahlen ist ein Protokoll aufzunehmen, das von dem Vorsitzenden und dem Schriftführer zu unterzeichnen ist.</w:t>
      </w:r>
    </w:p>
    <w:p>
      <w:r>
        <w:rPr>
          <w:color w:val="555555"/>
          <w:sz w:val="17"/>
        </w:rPr>
        <w:t xml:space="preserve">Zitiervorschlag: § 81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