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80 PatAnwO — Ankündigung der Tagesordnung</w:t>
      </w:r>
    </w:p>
    <w:p>
      <w:r>
        <w:rPr>
          <w:color w:val="555555"/>
          <w:sz w:val="18"/>
        </w:rPr>
        <w:t xml:space="preserve">Patentanwaltsordnung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Bei der Einberufung der Kammerversammlung ist der Gegenstand, über den Beschluß gefaßt werden soll, anzugeben.</w:t>
      </w:r>
    </w:p>
    <w:p>
      <w:r>
        <w:t xml:space="preserve">(2) Über Gegenstände, deren Verhandlung nicht ordnungsmäßig angekündigt ist, dürfen keine Beschlüsse gefaßt werden.</w:t>
      </w:r>
    </w:p>
    <w:p>
      <w:r>
        <w:rPr>
          <w:color w:val="555555"/>
          <w:sz w:val="17"/>
        </w:rPr>
        <w:t xml:space="preserve">Zitiervorschlag: § 80 PatAnwO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https://recht.nulegal.eu/gesetze/PatAnwO/80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