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PatAnwO — Einberufung der Kammerversammlung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Kammerversammlung wird durch den Präsidenten einberufen.</w:t>
      </w:r>
    </w:p>
    <w:p>
      <w:r>
        <w:t xml:space="preserve">(2) Der Präsident muß die Kammerversammlung einberufen, wenn ein Zehntel der Mitglieder es schriftlich oder elektronisch beantragt und hierbei den Gegenstand angibt, der in der Kammerversammlung behandelt werden soll.</w:t>
      </w:r>
    </w:p>
    <w:p>
      <w:r>
        <w:t xml:space="preserve">(3) Wenn die Satzung nichts anderes bestimmt, soll die Kammerversammlung am Sitz der Kammer zusammentreten.</w:t>
      </w:r>
    </w:p>
    <w:p>
      <w:r>
        <w:rPr>
          <w:color w:val="555555"/>
          <w:sz w:val="17"/>
        </w:rPr>
        <w:t xml:space="preserve">Zitiervorschlag: § 78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