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PatAnwO — Einziehung rückständiger Beiträge</w:t>
      </w:r>
    </w:p>
    <w:p>
      <w:r>
        <w:rPr>
          <w:color w:val="555555"/>
          <w:sz w:val="18"/>
        </w:rPr>
        <w:t xml:space="preserve">Patentanwaltsordnung</w:t>
      </w:r>
    </w:p>
    <w:p>
      <w:r>
        <w:rPr>
          <w:color w:val="555555"/>
          <w:sz w:val="18"/>
        </w:rPr>
        <w:t xml:space="preserve">Stand: 10.06.2019 (konsolidierte Textfassung, kein amtliches Inkrafttretensdatum)</w:t>
      </w:r>
    </w:p>
    <w:p>
      <w:r>
        <w:t xml:space="preserve">(1) Rückständige Beiträge, Umlagen, Gebühren und Auslagen werden auf Grund der von dem Schatzmeister ausgestellten, mit der Bescheinigung der Vollstreckbarkeit versehenen Zahlungsaufforderung nach den Vorschriften beigetrieben, die für die Vollstreckung von Urteilen in bürgerlichen Rechtsstreitigkeiten gelten.</w:t>
      </w:r>
    </w:p>
    <w:p>
      <w:r>
        <w:t xml:space="preserve">(2) Die Zwangsvollstreckung darf erst zwei Wochen nach Zustellung der vollstreckbaren Zahlungsaufforderung beginnen.</w:t>
      </w:r>
    </w:p>
    <w:p>
      <w:r>
        <w:t xml:space="preserve">(3) § 767 der Zivilprozessordnung gilt mit der Maßgabe, dass Einwendungen, die den Anspruch selbst betreffen, nur insoweit zulässig sind, als sie nicht im Wege der Anfechtung der vollstreckbaren Zahlungsaufforderung in dem Verfahren nach § 94a Absatz 1 geltend gemacht werden konnten. Solche Einwendungen sind im Wege der Klage bei dem in § 797 Absatz 5 der Zivilprozessordnung bezeichneten Gericht geltend zu machen.</w:t>
      </w:r>
    </w:p>
    <w:p>
      <w:r>
        <w:rPr>
          <w:color w:val="555555"/>
          <w:sz w:val="17"/>
        </w:rPr>
        <w:t xml:space="preserve">Zitiervorschlag: § 77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