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PatAnwO — Aufgaben des Schatzmeisters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Schatzmeister verwaltet das Vermögen der Kammer nach den Weisungen des Vorstands. Er ist berechtigt, Zahlungen entgegenzunehmen.</w:t>
      </w:r>
    </w:p>
    <w:p>
      <w:r>
        <w:t xml:space="preserve">(2) Der Schatzmeister überwacht den Eingang der Beiträge.</w:t>
      </w:r>
    </w:p>
    <w:p>
      <w:r>
        <w:t xml:space="preserve">(3) Ist ein Schatzmeister nicht gewählt, so hat der Schriftführer die Rechte und Pflichten aus den Absätzen 1 und 2 sowie aus § 50 Abs. 4 und § 77 Abs. 1.</w:t>
      </w:r>
    </w:p>
    <w:p>
      <w:r>
        <w:rPr>
          <w:color w:val="555555"/>
          <w:sz w:val="17"/>
        </w:rPr>
        <w:t xml:space="preserve">Zitiervorschlag: § 76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