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69a PatAnwO — Verwaltungsbehörde für Ordnungswidrigkeiten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Patentanwaltskammer ist im Sinne des § 36 Absatz 1 Nummer 1 des Gesetzes über Ordnungswidrigkeiten Verwaltungsbehörde für Ordnungswidrigkeiten nach § 6 der Dienstleistungs-Informationspflichten-Verordnung und nach § 56 des Geldwäschegesetzes, die durch ihre Mitglieder begangen werden.</w:t>
      </w:r>
    </w:p>
    <w:p>
      <w:r>
        <w:t xml:space="preserve">(2) Die Geldbußen aus der Ahndung von Ordnungswidrigkeiten nach Absatz 1 fließen in die Kasse der Verwaltungsbehörde, die den Bußgeldbescheid erlassen hat.</w:t>
      </w:r>
    </w:p>
    <w:p>
      <w:r>
        <w:t xml:space="preserve">(3) Die nach Absatz 2 zuständige Kasse trägt abweichend von § 105 Absatz 2 des Gesetzes über Ordnungswidrigkeiten die notwendigen Auslagen. Sie ist auch ersatzpflichtig im Sinne des § 110 Absatz 4 des Gesetzes über Ordnungswidrigkeiten.</w:t>
      </w:r>
    </w:p>
    <w:p>
      <w:r>
        <w:rPr>
          <w:color w:val="555555"/>
          <w:sz w:val="17"/>
        </w:rPr>
        <w:t xml:space="preserve">Zitiervorschlag: § 69a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