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PatAnwO — Wahl des Präsidenten, des Schriftführers und des Schatzmeisters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Vorstand wählt aus seiner Mitte einen Präsidenten und einen Vizepräsidenten sowie einen Schriftführer und dessen Vertretung; er kann auch einen Schatzmeister und dessen Vertretung wählen.</w:t>
      </w:r>
    </w:p>
    <w:p>
      <w:r>
        <w:t xml:space="preserve">(2) Die Wahl findet alsbald nach jeder ordentlichen Wahl des Vorstands statt. Scheidet ein Mitglied des Vorstands aus einem in Absatz 1 genannten Amt vorzeitig aus, so wird für den Rest seiner Amtszeit innerhalb von drei Monaten ein anderes Vorstandsmitglied in dieses Amt gewählt.</w:t>
      </w:r>
    </w:p>
    <w:p>
      <w:r>
        <w:rPr>
          <w:color w:val="555555"/>
          <w:sz w:val="17"/>
        </w:rPr>
        <w:t xml:space="preserve">Zitiervorschlag: § 64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