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PatAnwO — Verlust der Wählbarkeit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Zum Mitglied des Vorstands kann nicht gewählt werden,</w:t>
      </w:r>
    </w:p>
    <w:p>
      <w:pPr>
        <w:ind w:left="420"/>
      </w:pPr>
      <w:r>
        <w:t xml:space="preserve">1. gegen wen ein Berufs- oder Vertretungsverbot verhängt ist,</w:t>
      </w:r>
    </w:p>
    <w:p>
      <w:pPr>
        <w:ind w:left="420"/>
      </w:pPr>
      <w:r>
        <w:t xml:space="preserve">2. gegen wen die sofortige Vollziehung der Rücknahme oder des Widerrufs der Zulassung angeordnet ist,</w:t>
      </w:r>
    </w:p>
    <w:p>
      <w:pPr>
        <w:ind w:left="420"/>
      </w:pPr>
      <w:r>
        <w:t xml:space="preserve">3. gegen wen in den letzten fünf Jahren ein Verweis (§ 96 Absatz 1 Nummer 2) oder eine Geldbuße (§ 96 Absatz 1 Nummer 3) verhängt wurde,</w:t>
      </w:r>
    </w:p>
    <w:p>
      <w:pPr>
        <w:ind w:left="420"/>
      </w:pPr>
      <w:r>
        <w:t xml:space="preserve">4. wer in den letzten 15 Jahren aus der Patentanwaltschaft ausgeschlossen wurde (§ 96 Absatz 1 Nummer 4) oder</w:t>
      </w:r>
    </w:p>
    <w:p>
      <w:pPr>
        <w:ind w:left="420"/>
      </w:pPr>
      <w:r>
        <w:t xml:space="preserve">5. bei wem in den letzten fünf Jahren nach § 97b von einer berufsgerichtlichen Ahndung abgesehen wurde, sofern ohne die anderweitige Ahndung voraussichtlich ein Verweis oder eine Geldbuße verhängt worden wäre.</w:t>
      </w:r>
    </w:p>
    <w:p>
      <w:r>
        <w:t xml:space="preserve">(2) Die Geschäftsordnung der Kammer kann weitere Ausschlussgründe vorsehen.</w:t>
      </w:r>
    </w:p>
    <w:p>
      <w:r>
        <w:rPr>
          <w:color w:val="555555"/>
          <w:sz w:val="17"/>
        </w:rPr>
        <w:t xml:space="preserve">Zitiervorschlag: § 60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