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 PatAnwO — Stellung der Patentanwaltskammer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Patentanwaltskammer ist eine bundesunmittelbare Körperschaft des öffentlichen Rechts.</w:t>
      </w:r>
    </w:p>
    <w:p>
      <w:r>
        <w:t xml:space="preserve">(2) Der Präsident des Deutschen Patent- und Markenamts führt die Staatsaufsicht über die Patentanwaltskammer. Die Aufsicht beschränkt sich darauf, dass Gesetz und Satzung beachtet und insbesondere die der Patentanwaltskammer übertragenen Aufgaben erfüllt werden.</w:t>
      </w:r>
    </w:p>
    <w:p>
      <w:r>
        <w:rPr>
          <w:color w:val="555555"/>
          <w:sz w:val="17"/>
        </w:rPr>
        <w:t xml:space="preserve">Zitiervorschlag: § 57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