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52k PatAnwO — Recht zur Beratung und Vertretung</w:t>
      </w:r>
    </w:p>
    <w:p>
      <w:r>
        <w:rPr>
          <w:color w:val="555555"/>
          <w:sz w:val="18"/>
        </w:rPr>
        <w:t xml:space="preserve">Patentanwaltsordnung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Berufsausübungsgesellschaften sind zur unabhängigen Beratung und Vertretung nach § 3 Absatz 2 und 3 befugt.</w:t>
      </w:r>
    </w:p>
    <w:p>
      <w:r>
        <w:t xml:space="preserve">(2) Berufsausübungsgesellschaften können als Prozess- und Verfahrensbevollmächtigte beauftragt werden. Sie haben in diesem Fall die Rechte und Pflichten eines Patentanwalts.</w:t>
      </w:r>
    </w:p>
    <w:p>
      <w:r>
        <w:t xml:space="preserve">(3) Soweit Berufsausübungsgesellschaften die Beratung und Vertretung nach § 3 Absatz 2 und 3 wahrnehmen, handeln sie durch ihre Gesellschafter und Vertreter. In deren Person müssen die gesetzlich vorgeschriebenen Voraussetzungen für die Beratung und Vertretung nach § 3 Absatz 2 und 3 im Einzelfall vorliegen.</w:t>
      </w:r>
    </w:p>
    <w:p>
      <w:r>
        <w:rPr>
          <w:color w:val="555555"/>
          <w:sz w:val="17"/>
        </w:rPr>
        <w:t xml:space="preserve">Zitiervorschlag: § 52k PatAnwO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https://recht.nulegal.eu/gesetze/PatAnwO/52k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