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PatAnwO — Pflicht zu Übernahme der Vertretung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Der Patentanwalt muss</w:t>
      </w:r>
    </w:p>
    <w:p>
      <w:pPr>
        <w:ind w:left="420"/>
      </w:pPr>
      <w:r>
        <w:t xml:space="preserve">1. in Verfahren vor dem Deutschen Patent- und Markenamt, dem Bundespatentgericht und dem Bundesgerichtshof die Vertretung von Beteiligten übernehmen, wenn er ihnen auf Grund des § 133 des Patentgesetzes, des § 21 Absatz 2 des Gebrauchsmustergesetzes, des § 11 Absatz 2 des Halbleiterschutzgesetzes, des § 81a Absatz 2 des Markengesetzes, des § 24 des Designgesetzes oder des § 36 des Sortenschutzgesetzes zur vorläufig unentgeltlichen Wahrnehmung ihrer Rechte beigeordnet ist;</w:t>
      </w:r>
    </w:p>
    <w:p>
      <w:pPr>
        <w:ind w:left="420"/>
      </w:pPr>
      <w:r>
        <w:t xml:space="preserve">2. in Verfahren vor dem Verwaltungsgericht die Vertretung von Beteiligten übernehmen, wenn er ihnen nach § 39 Absatz 1 Satz 2 des Agrargeoschutz-Durchführungsgesetzes beigeordnet worden ist;</w:t>
      </w:r>
    </w:p>
    <w:p>
      <w:pPr>
        <w:ind w:left="420"/>
      </w:pPr>
      <w:r>
        <w:t xml:space="preserve">3. in gerichtlichen Verfahren die Beratung einer Partei und die Unterstützung ihres Rechtsanwalts übernehmen, wenn er der Partei nach § 4a beigeordnet ist.</w:t>
      </w:r>
    </w:p>
    <w:p>
      <w:r>
        <w:t xml:space="preserve">(2) Der Patentanwalt kann beantragen, die Beiordnung aufzuheben, wenn hierfür wichtige Gründe vorliegen.</w:t>
      </w:r>
    </w:p>
    <w:p>
      <w:r>
        <w:t xml:space="preserve">(3) Der Patentanwalt ist verpflichtet, bei Einrichtungen der Patentanwaltskammer für die Beratung von Rechtsuchenden mit geringem Einkommen mitzuwirken. Er kann die Mitwirkung im Einzelfall aus wichtigem Grund ablehnen.</w:t>
      </w:r>
    </w:p>
    <w:p>
      <w:r>
        <w:rPr>
          <w:color w:val="555555"/>
          <w:sz w:val="17"/>
        </w:rPr>
        <w:t xml:space="preserve">Zitiervorschlag: § 43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