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PatAnwO — Ermittlung des Sachverhalts und Übermittlung von Daten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Patentanwaltskammer kann zur Ermittlung des Sachverhalts in Zulassungssachen eine unbeschränkte Auskunft nach § 41 Absatz 1 Nummer 11 des Bundeszentralregistergesetzes als Regelanfrage einholen.</w:t>
      </w:r>
    </w:p>
    <w:p>
      <w:r>
        <w:t xml:space="preserve">(2) Gerichte und Behörden einschließlich der Berufskammern übermitteln der Patentanwaltskammer oder der für die Entscheidung zuständigen Stelle diejenigen Daten über Personen und Berufsausübungsgesellschaften, deren Kenntnis aus Sicht der übermittelnden Stelle erforderlich ist für</w:t>
      </w:r>
    </w:p>
    <w:p>
      <w:pPr>
        <w:ind w:left="420"/>
      </w:pPr>
      <w:r>
        <w:t xml:space="preserve">1. die Zulassung zur Patentanwaltschaft oder als Berufsausübungsgesellschaft oder die Rücknahme oder den Widerruf einer solchen Zulassung,</w:t>
      </w:r>
    </w:p>
    <w:p>
      <w:pPr>
        <w:ind w:left="420"/>
      </w:pPr>
      <w:r>
        <w:t xml:space="preserve">2. die Rücknahme oder den Widerruf einer Erlaubnis oder Befreiung oder</w:t>
      </w:r>
    </w:p>
    <w:p>
      <w:pPr>
        <w:ind w:left="420"/>
      </w:pPr>
      <w:r>
        <w:t xml:space="preserve">3. die Einleitung oder Durchführung eines berufsaufsichtlichen Verfahrens.</w:t>
      </w:r>
    </w:p>
    <w:p>
      <w:r>
        <w:t xml:space="preserve">(3) Die Übermittlung nach Absatz 2 unterbleibt, soweit</w:t>
      </w:r>
    </w:p>
    <w:p>
      <w:pPr>
        <w:ind w:left="420"/>
      </w:pPr>
      <w:r>
        <w:t xml:space="preserve">1. sie schutzwürdige Interessen einer betroffenen Person beeinträchtigen würde und das Informationsinteresse des Empfängers das Interesse der betroffenen Person an dem Unterbleiben der Übermittlung nicht überwiegt oder</w:t>
      </w:r>
    </w:p>
    <w:p>
      <w:pPr>
        <w:ind w:left="420"/>
      </w:pPr>
      <w:r>
        <w:t xml:space="preserve">2. besondere gesetzliche Verwendungsregelungen entgegenstehen.</w:t>
      </w:r>
    </w:p>
    <w:p>
      <w:r>
        <w:t xml:space="preserve">Satz 1 Nummer 2 gilt nicht für die Verschwiegenheitspflichten der für eine Berufskammer eines freien Berufs im Geltungsbereich dieses Gesetzes tätigen Personen und für das Steuergeheimnis nach § 30 der Abgabenordnung.</w:t>
      </w:r>
    </w:p>
    <w:p>
      <w:r>
        <w:rPr>
          <w:color w:val="555555"/>
          <w:sz w:val="17"/>
        </w:rPr>
        <w:t xml:space="preserve">Zitiervorschlag: § 34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