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PatAnwO — Ergänzende Anwendung der Verwaltungsverfahrensgesetze</w:t>
      </w:r>
    </w:p>
    <w:p>
      <w:r>
        <w:rPr>
          <w:color w:val="555555"/>
          <w:sz w:val="18"/>
        </w:rPr>
        <w:t xml:space="preserve">Patentanwaltsordnung</w:t>
      </w:r>
    </w:p>
    <w:p>
      <w:r>
        <w:rPr>
          <w:color w:val="555555"/>
          <w:sz w:val="18"/>
        </w:rPr>
        <w:t xml:space="preserve">Stand: 01.08.2022 (konsolidierte Textfassung, kein amtliches Inkrafttretensdatum)</w:t>
      </w:r>
    </w:p>
    <w:p>
      <w:r>
        <w:t xml:space="preserve">(1) Für Verwaltungsverfahren nach diesem Gesetz oder nach einer auf Grund dieses Gesetzes erlassenen Rechtsverordnung gelten, soweit nichts anderes bestimmt ist, für Behörden des Bundes das Verwaltungsverfahrensgesetz des Bundes und für Behörden der Länder die Verwaltungsverfahrensgesetze der Länder. Die Verwaltungsverfahren nach diesem Gesetz können über eine einheitliche Stelle nach den Vorschriften des Verwaltungsverfahrensgesetzes abgewickelt werden.</w:t>
      </w:r>
    </w:p>
    <w:p>
      <w:r>
        <w:t xml:space="preserve">(2) Über Anträge ist innerhalb einer Frist von drei Monaten zu entscheiden; § 42a Absatz 2 Satz 2 bis 4 des Verwaltungsverfahrensgesetzes gilt entsprechend. In den Fällen des § 22 beginnt die Frist erst mit der Vorlage des ärztlichen Gutachtens. § 17 bleibt unberührt.</w:t>
      </w:r>
    </w:p>
    <w:p>
      <w:r>
        <w:rPr>
          <w:color w:val="555555"/>
          <w:sz w:val="17"/>
        </w:rPr>
        <w:t xml:space="preserve">Zitiervorschlag: § 30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