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PatAnwO — Kanzleien in anderen Staaten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Patentanwalt darf auch in anderen Staaten Kanzleien einrichten oder unterhalten.</w:t>
      </w:r>
    </w:p>
    <w:p>
      <w:r>
        <w:t xml:space="preserve">(2) Die Patentanwaltskammer befreit einen Patentanwalt, der seine Kanzlei ausschließlich in anderen Staaten einrichtet, von der Pflicht des § 26, sofern nicht überwiegende Interessen der Rechtspflege entgegenstehen. Die Befreiung kann widerrufen werden, wenn es im überwiegenden Interesse der Rechtspflege erforderlich ist.</w:t>
      </w:r>
    </w:p>
    <w:p>
      <w:r>
        <w:t xml:space="preserve">(3) Der Patentanwalt hat die Anschrift seiner Kanzlei in einem anderen Staat sowie deren Änderung der Patentanwaltskammer mitzuteilen.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27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