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PatAnwO — Kanzlei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Patentanwalt muss im Geltungsbereich dieses Gesetzes eine Kanzlei einrichten und unterhalten.</w:t>
      </w:r>
    </w:p>
    <w:p>
      <w:r>
        <w:t xml:space="preserve">(2) Verlegt der Patentanwalt seine Kanzlei, errichtet er eine weitere Kanzlei oder eine Zweigstelle oder gibt er eine weitere Kanzlei oder eine Zweigstelle auf, hat er dies der Patentanwaltskammer unverzüglich anzuzeigen.</w:t>
      </w:r>
    </w:p>
    <w:p>
      <w:r>
        <w:t xml:space="preserve">(3) Im Interesse der Rechtspflege oder zur Vermeidung von Härten kann die Patentanwaltskammer einen Patentanwalt von der Pflicht des Absatzes 1 befreien. Die Befreiung kann widerrufen werden, wenn es im Interesse der Rechtspflege erforderlich ist.</w:t>
      </w:r>
    </w:p>
    <w:p>
      <w:r>
        <w:rPr>
          <w:color w:val="555555"/>
          <w:sz w:val="17"/>
        </w:rPr>
        <w:t xml:space="preserve">Zitiervorschlag: § 26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