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PatAnwO — Maßgabe nach dem Einigungsvertrag</w:t>
      </w:r>
    </w:p>
    <w:p>
      <w:r>
        <w:rPr>
          <w:color w:val="555555"/>
          <w:sz w:val="18"/>
        </w:rPr>
        <w:t xml:space="preserve">Patentanwaltsordnung</w:t>
      </w:r>
    </w:p>
    <w:p>
      <w:r>
        <w:rPr>
          <w:color w:val="555555"/>
          <w:sz w:val="18"/>
        </w:rPr>
        <w:t xml:space="preserve">Stand: 01.08.2022 (konsolidierte Textfassung, kein amtliches Inkrafttretensdatum)</w:t>
      </w:r>
    </w:p>
    <w:p>
      <w:r>
        <w:t xml:space="preserve">Patentanwälte und Patentassessoren, die am 3. Oktober 1990 in die beim Patentamt der Deutschen Demokratischen Republik geführten Listen der Patentanwälte oder der Patentassessoren nicht nur vorläufig eingetragen waren, stehen Personen gleich, die nach § 5 die Voraussetzungen für den Zugang zum Beruf des Patentanwalts durch Prüfung erlangt haben.</w:t>
      </w:r>
    </w:p>
    <w:p>
      <w:r>
        <w:rPr>
          <w:color w:val="555555"/>
          <w:sz w:val="17"/>
        </w:rPr>
        <w:t xml:space="preserve">Zitiervorschlag: § 161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