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PatAnwO — Inhaber von Erlaubnisscheinen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Inhaber von Erlaubnisscheinen sind die §§ 177 bis 183 in der bis zum 31. August 2009 geltenden Fassung dieses Gesetzes weiter anzuwenden.</w:t>
      </w:r>
    </w:p>
    <w:p>
      <w:r>
        <w:rPr>
          <w:color w:val="555555"/>
          <w:sz w:val="17"/>
        </w:rPr>
        <w:t xml:space="preserve">Zitiervorschlag: § 160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