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155a PatAnwO — Tätigkeitsverbote bei weiterer Tätigkeit als Patentanwalt</w:t>
      </w:r>
    </w:p>
    <w:p>
      <w:r>
        <w:rPr>
          <w:color w:val="555555"/>
          <w:sz w:val="18"/>
        </w:rPr>
        <w:t xml:space="preserve">Patentanwaltsordnung</w:t>
      </w:r>
    </w:p>
    <w:p>
      <w:r>
        <w:rPr>
          <w:color w:val="555555"/>
          <w:sz w:val="18"/>
        </w:rPr>
        <w:t xml:space="preserve">Stand: 01.08.2022 (konsolidierte Textfassung, kein amtliches Inkrafttretensdatum)</w:t>
      </w:r>
    </w:p>
    <w:p>
      <w:r>
        <w:t xml:space="preserve">(1) Der Patentanwalt darf für einen Auftraggeber, dem er auf Grund eines ständigen Dienst- oder ähnlichen Beschäftigungsverhältnisses seine Arbeitszeit und -kraft als Patentassessor zur Verfügung stellen muss, vor Gerichten, Schiedsgerichten oder Behörden nicht in seiner Eigenschaft als Patentanwalt tätig werden.</w:t>
      </w:r>
    </w:p>
    <w:p>
      <w:r>
        <w:t xml:space="preserve">(2) Der Patentanwalt darf nicht tätig werden</w:t>
      </w:r>
    </w:p>
    <w:p>
      <w:pPr>
        <w:ind w:left="420"/>
      </w:pPr>
      <w:r>
        <w:t xml:space="preserve">1. wenn er als Patentassessor, der in einem ständigen Dienst- oder ähnlichen Beschäftigungsverhältnis eine Tätigkeit auf dem Gebiet des gewerblichen Rechtsschutzes ausübt, in derselben Angelegenheit bereits tätig geworden ist oder in einer Angelegenheit, die eine technische oder naturwissenschaftliche Verwertbarkeit für das Arbeitsgebiet ergibt, mit dem er als Patentassessor befasst ist; es sei denn, es besteht ein gemeinsames Interesse oder die berufliche Tätigkeit ist beendet;</w:t>
      </w:r>
    </w:p>
    <w:p>
      <w:pPr>
        <w:ind w:left="420"/>
      </w:pPr>
      <w:r>
        <w:t xml:space="preserve">2. als Patentassessor, der in einem ständigen Dienst- oder ähnlichen Beschäftigungsverhältnis eine Tätigkeit auf dem Gebiet des gewerblichen Rechtsschutzes ausübt, wenn er als Patentanwalt mit derselben Angelegenheit bereits befasst gewesen ist oder mit einer solchen, die eine technische oder naturwissenschaftliche Verwertbarkeit für das Arbeitsgebiet eines Auftraggebers ergibt, für den er als Patentanwalt tätig ist; es sei denn, es besteht ein gemeinsames Interesse.</w:t>
      </w:r>
    </w:p>
    <w:p>
      <w:r>
        <w:t xml:space="preserve">(3) Die Tätigkeitsverbote nach Absatz 2 gelten auch für Patentanwälte, die ihren Beruf gemeinschaftlich ausüben</w:t>
      </w:r>
    </w:p>
    <w:p>
      <w:pPr>
        <w:ind w:left="420"/>
      </w:pPr>
      <w:r>
        <w:t xml:space="preserve">1. mit einem Patentanwalt, der nach Absatz 2 nicht tätig werden darf, oder</w:t>
      </w:r>
    </w:p>
    <w:p>
      <w:pPr>
        <w:ind w:left="420"/>
      </w:pPr>
      <w:r>
        <w:t xml:space="preserve">2. mit einem Angehörigen eines anderen Berufs im Sinne des § 52c Absatz 1 Satz 1, dem ein Tätigwerden bei einer entsprechenden Anwendung des Absatzes 2 in Verbindung mit § 52d Absatz 3 untersagt wäre.</w:t>
      </w:r>
    </w:p>
    <w:p>
      <w:r>
        <w:t xml:space="preserve">Ein Tätigkeitsverbot nach Satz 1 bleibt bestehen, wenn der nach Absatz 2 ausgeschlossene Patentanwalt die gemeinschaftliche Berufsausübung beendet. Die Sätze 1 und 2 finden keine Anwendung, wenn die betroffenen Personen der Tätigkeit nach umfassender Information in Textform zugestimmt haben und geeignete Vorkehrungen die Verhinderung einer Offenbarung vertraulicher Informationen sicherstellen. Soweit es für die Prüfung eines Tätigkeitsverbots erforderlich ist, dürfen der Verschwiegenheit unterliegende Tatsachen einem Patentanwalt auch ohne Einwilligung der betroffenen Personen offenbart werden.</w:t>
      </w:r>
    </w:p>
    <w:p>
      <w:r>
        <w:rPr>
          <w:color w:val="555555"/>
          <w:sz w:val="17"/>
        </w:rPr>
        <w:t xml:space="preserve">Zitiervorschlag: § 155a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https://recht.nulegal.eu/gesetze/PatAnwO/155a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